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FF"/>
          <w:sz w:val="18"/>
          <w:szCs w:val="18"/>
          <w:shd w:val="clear" w:color="auto" w:fill="auto"/>
        </w:rPr>
      </w:pPr>
    </w:p>
    <w:p>
      <w:pPr>
        <w:widowControl/>
        <w:spacing w:before="312" w:beforeLines="100" w:after="312" w:afterLines="100" w:line="360" w:lineRule="exact"/>
        <w:jc w:val="center"/>
        <w:rPr>
          <w:rStyle w:val="7"/>
          <w:rFonts w:hint="eastAsia"/>
          <w:color w:val="auto"/>
          <w:sz w:val="24"/>
          <w:szCs w:val="24"/>
          <w:shd w:val="clear" w:color="auto" w:fill="auto"/>
        </w:rPr>
      </w:pPr>
      <w:r>
        <w:rPr>
          <w:rStyle w:val="7"/>
          <w:rFonts w:hint="eastAsia" w:ascii="宋体" w:hAnsi="宋体" w:eastAsia="宋体" w:cs="宋体"/>
          <w:color w:val="auto"/>
          <w:sz w:val="32"/>
          <w:szCs w:val="32"/>
          <w:shd w:val="clear" w:color="auto" w:fill="auto"/>
        </w:rPr>
        <w:t>沁源县20</w:t>
      </w:r>
      <w:r>
        <w:rPr>
          <w:rStyle w:val="7"/>
          <w:rFonts w:hint="eastAsia" w:ascii="宋体" w:hAnsi="宋体" w:eastAsia="宋体" w:cs="宋体"/>
          <w:color w:val="auto"/>
          <w:sz w:val="32"/>
          <w:szCs w:val="32"/>
          <w:shd w:val="clear" w:color="auto" w:fill="auto"/>
          <w:lang w:val="en-US" w:eastAsia="zh-CN"/>
        </w:rPr>
        <w:t>19</w:t>
      </w:r>
      <w:r>
        <w:rPr>
          <w:rStyle w:val="7"/>
          <w:rFonts w:hint="eastAsia" w:ascii="宋体" w:hAnsi="宋体" w:eastAsia="宋体" w:cs="宋体"/>
          <w:color w:val="auto"/>
          <w:sz w:val="32"/>
          <w:szCs w:val="32"/>
          <w:shd w:val="clear" w:color="auto" w:fill="auto"/>
        </w:rPr>
        <w:t>年国民经济和社会发展统计公报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ascii="Arial" w:hAnsi="Arial" w:cs="Arial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201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年，沁源县委、县政府坚持稳中求进工作总基调，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  <w:t>紧扣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“绿色立县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  <w:t>，建设美丽沁源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”发展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  <w:t>战略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，按照推动高质量发展要求，践行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  <w:t>“转型、增绿、开放、强基、富民”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五大发展思路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  <w:t>和“修路、种树、治水、兴文、尚旅”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五条发展路径，人民生活持续改善，经济运行保持在合理区间，总体平稳、稳中有进态势持续显现，经济社会发展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  <w:t>取得显著成效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，全面建成小康社会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  <w:t>迈出新步伐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一、综  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全年全县地区生产总值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129.3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亿元，比上年增长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7.4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%（不变价增幅）。其中，第一产业增加值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2.5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-8.5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%，占生产总值的比重为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1.9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%；第二产业增加值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88.74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9.3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%，占生产总值的比重为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68.7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%；第三产业增加值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38.04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4.9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%,占生产总值的比重为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29.4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%。第三产业中，交通运输、仓储和邮政业增加值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7.63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1.5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%；批发和零售业增加值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8.36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2.3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%；非营利性服务业增加值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9.04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增长8.4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人均地区生产总值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78584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元，增长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7.18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%，按201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年平均汇率计算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人均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11391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美元。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18415</wp:posOffset>
            </wp:positionV>
            <wp:extent cx="5270500" cy="2444750"/>
            <wp:effectExtent l="0" t="0" r="6350" b="12700"/>
            <wp:wrapNone/>
            <wp:docPr id="1337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全年全县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财政总收入37.52亿元，增长6.6%。地方财政收入16.17亿元，增长9.5%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eastAsia="zh-CN"/>
        </w:rPr>
        <w:t>一般公共预算收入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13.14亿元，增长8.4%。全年全县税收收入33.17亿元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。公共财政预算支出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19.79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亿元，其中农林水事务支出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2.86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亿元，教育支出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3.1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亿元，医疗卫生支出增长1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.15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亿元，科技支出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0.13亿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元。</w:t>
      </w:r>
      <w:r>
        <w:rPr>
          <w:rFonts w:hint="eastAsia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2444750"/>
            <wp:effectExtent l="0" t="0" r="0" b="0"/>
            <wp:docPr id="19519" name="Chart 51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全年全县城镇新增就业3545人。转移农村劳动力3764人。年末城镇登记失业率1.8%。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auto"/>
        </w:rPr>
        <w:t>二、农  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全年全县农作物种植面积16042.6公顷。其中：粮食种植面积13195公顷；玉米种植面积7730.2公顷。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>马铃薯种植面积2815.1公顷，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蔬菜种植面积644.6公顷。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年主要农林产品产量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单位：吨</w:t>
      </w:r>
    </w:p>
    <w:tbl>
      <w:tblPr>
        <w:tblStyle w:val="4"/>
        <w:tblW w:w="794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7"/>
        <w:gridCol w:w="3185"/>
        <w:gridCol w:w="2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5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产品名称</w:t>
            </w:r>
          </w:p>
        </w:tc>
        <w:tc>
          <w:tcPr>
            <w:tcW w:w="34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产 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油料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800.9</w:t>
            </w: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蔬菜及食用菌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15394</w:t>
            </w: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水果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898.3</w:t>
            </w: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食用坚果</w:t>
            </w:r>
          </w:p>
        </w:tc>
        <w:tc>
          <w:tcPr>
            <w:tcW w:w="3185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362.6</w:t>
            </w:r>
          </w:p>
        </w:tc>
        <w:tc>
          <w:tcPr>
            <w:tcW w:w="240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全年全县肉类总产量2250吨，其中，猪肉产量556吨，牛肉产量127吨，羊肉产量775吨，禽肉产量7920吨。牛奶产量129吨。禽蛋产量2220吨。年末生猪存栏7127头，累计出栏7426头。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年末全县农业机械总动力40904千瓦。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三、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工业和建筑业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年末全县规模以上工业企业31家，完成工业总产值179.53亿元，共实现增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加值83.52亿元，增长9.46%（可比价），其中：制造业增加值占工业增加值的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比重上升率为0.13%，煤炭工业增加值占工业增加值的比重降低率为-0.2%。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2444750"/>
            <wp:effectExtent l="0" t="0" r="5715" b="12700"/>
            <wp:docPr id="17471" name="Chart 30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全社会原煤产量1743.93万吨，增长17.07%；发电量9.12亿千瓦时，下降11.28%；规模以上工业企业焦炭产量166.32万吨，增长10.3%；全年共向省外运输煤炭264.9万吨。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 201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年规模以上工业主要工业产品产量及其增长速度</w:t>
      </w:r>
    </w:p>
    <w:tbl>
      <w:tblPr>
        <w:tblStyle w:val="4"/>
        <w:tblW w:w="8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1800"/>
        <w:gridCol w:w="1439"/>
        <w:gridCol w:w="442"/>
        <w:gridCol w:w="1569"/>
        <w:gridCol w:w="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07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指   标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188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产  量</w:t>
            </w:r>
          </w:p>
        </w:tc>
        <w:tc>
          <w:tcPr>
            <w:tcW w:w="192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比上年增长%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single" w:color="auto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原  煤※</w:t>
            </w:r>
          </w:p>
        </w:tc>
        <w:tc>
          <w:tcPr>
            <w:tcW w:w="1800" w:type="dxa"/>
            <w:tcBorders>
              <w:top w:val="single" w:color="auto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万 吨</w:t>
            </w:r>
          </w:p>
        </w:tc>
        <w:tc>
          <w:tcPr>
            <w:tcW w:w="1439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1579.74</w:t>
            </w:r>
          </w:p>
        </w:tc>
        <w:tc>
          <w:tcPr>
            <w:tcW w:w="44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13.77</w:t>
            </w:r>
          </w:p>
        </w:tc>
        <w:tc>
          <w:tcPr>
            <w:tcW w:w="360" w:type="dxa"/>
            <w:tcBorders>
              <w:top w:val="single" w:color="auto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洗精煤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万 吨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702.75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-4.11</w:t>
            </w:r>
          </w:p>
        </w:tc>
        <w:tc>
          <w:tcPr>
            <w:tcW w:w="3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发电量※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亿千瓦小时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9.12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-11.28</w:t>
            </w:r>
          </w:p>
        </w:tc>
        <w:tc>
          <w:tcPr>
            <w:tcW w:w="3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焦  炭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万 吨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166.32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tcBorders>
              <w:top w:val="nil"/>
              <w:left w:val="single" w:color="auto" w:sz="2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10.3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  气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万立方米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10822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tcBorders>
              <w:top w:val="nil"/>
              <w:left w:val="single" w:color="auto" w:sz="2" w:space="0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2.26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注：标注※为全社会产量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规模以上工业企业实现主营业务收入157.4亿元，增长8%；实现利润26.3亿元，同比增长-4.4%；实现利税44.4亿元，同比增长-4.9%。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全年全县建筑业总产值3623.9万元，增长-4.6%。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四、固定资产投资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全年固定资产投资60.5亿元，增长8.5%（新统计口径）。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FF"/>
          <w:kern w:val="0"/>
          <w:sz w:val="28"/>
          <w:szCs w:val="28"/>
          <w:shd w:val="clear" w:color="auto" w:fill="auto"/>
        </w:rPr>
      </w:pPr>
      <w:r>
        <w:drawing>
          <wp:inline distT="0" distB="0" distL="114300" distR="114300">
            <wp:extent cx="5271135" cy="2444750"/>
            <wp:effectExtent l="0" t="0" r="0" b="0"/>
            <wp:docPr id="18495" name="Chart 40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分产业看，第一产业投资1.02亿元；第二产业投资44.72亿元；第三产业投资14.75亿元。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全年全县在建固定资产投资项目83个。其中，5000万以上项目50个，计划总投资137亿元，完成投资55.94亿元。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全年全县招商引资签约项目当年开工率按个数为68.75%，按投资额为43.78%。全年开发区投资强度是383.8万元/亩，产出强度是211.7万元/亩，税收强度27.2万元/亩。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五、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国内贸易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2"/>
          <w:szCs w:val="22"/>
          <w:shd w:val="clear" w:color="auto" w:fill="auto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全年全县社会消费品零售总额29.95亿元，增长7.3%。其中，城镇消费品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零售额14.45亿元，增长7.3%；乡村消费品零售额15.5亿元，增长7.4%。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</w:rPr>
      </w:pPr>
      <w:r>
        <w:drawing>
          <wp:inline distT="0" distB="0" distL="114300" distR="114300">
            <wp:extent cx="5271135" cy="2444750"/>
            <wp:effectExtent l="0" t="0" r="0" b="0"/>
            <wp:docPr id="16447" name="Chart 20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  201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年社会消费品零售总额及其增长速度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单位：亿元</w:t>
      </w:r>
    </w:p>
    <w:tbl>
      <w:tblPr>
        <w:tblStyle w:val="4"/>
        <w:tblW w:w="8280" w:type="dxa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620"/>
        <w:gridCol w:w="540"/>
        <w:gridCol w:w="1440"/>
        <w:gridCol w:w="7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0" w:type="dxa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960" w:firstLineChars="4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指       标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720" w:firstLineChars="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绝对数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比上年增长%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社会消费品零售总额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29.95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分地域：城 镇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14.45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乡 村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15.5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分行业：批发业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3.95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63.2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零售业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23.45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1.43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住宿业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21.9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餐饮业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2.05</w:t>
            </w:r>
          </w:p>
        </w:tc>
        <w:tc>
          <w:tcPr>
            <w:tcW w:w="540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720" w:type="dxa"/>
            <w:tcBorders>
              <w:top w:val="nil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  201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年限额以上批发零售业零售额及其增长速度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单位：亿元</w:t>
      </w:r>
    </w:p>
    <w:tbl>
      <w:tblPr>
        <w:tblStyle w:val="4"/>
        <w:tblW w:w="8280" w:type="dxa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440"/>
        <w:gridCol w:w="720"/>
        <w:gridCol w:w="1440"/>
        <w:gridCol w:w="7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0" w:type="dxa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指       标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绝对数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比上年增长%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0" w:type="dxa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限额以上批发零售业零售额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72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720" w:firstLineChars="3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其中：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石油及制品类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1.03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粮油、食品、饮料、烟酒类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服装、鞋帽、针纺织品类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0.39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21.2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文化办公用品类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45.8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化妆品类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0.03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81.2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日用品类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0.04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50.4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五金电料类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0.03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44.3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通讯器材类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0.16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22.6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中西药品类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18.6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20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720" w:type="dxa"/>
            <w:tcBorders>
              <w:top w:val="nil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六、交通、邮电和旅游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年末全县公路线路里程948.81公里。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全年全县完成邮政业务总量1578.15万元，增长11.41%；电信业务总量9966.88万元，增长0.64%，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其中：联通公司业务总量3200万元，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移动公司业务总量6000万元，电信公司业务总量766.88万元，年末移动电话用户达到14.42万户，全县互联网接入用户5.07万户。全年全县旅游总收入完成44.7亿元，增长19%。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七、金  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年末全县金融机构各项存款余额78.82亿元，同比增长6.87%。各项贷款余额34.53亿元，增长20.95%。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年年末金融机构存贷款及其增长速度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单位：万元</w:t>
      </w:r>
    </w:p>
    <w:tbl>
      <w:tblPr>
        <w:tblStyle w:val="4"/>
        <w:tblW w:w="827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0"/>
        <w:gridCol w:w="2160"/>
        <w:gridCol w:w="141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440" w:firstLineChars="6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指       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</w:t>
            </w:r>
          </w:p>
        </w:tc>
        <w:tc>
          <w:tcPr>
            <w:tcW w:w="357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年末数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700" w:type="dxa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440" w:firstLineChars="6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各项存款余额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    788184</w:t>
            </w:r>
          </w:p>
        </w:tc>
        <w:tc>
          <w:tcPr>
            <w:tcW w:w="1414" w:type="dxa"/>
            <w:tcBorders>
              <w:top w:val="single" w:color="auto" w:sz="12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其中：住户存款</w:t>
            </w:r>
          </w:p>
        </w:tc>
        <w:tc>
          <w:tcPr>
            <w:tcW w:w="216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 599127</w:t>
            </w:r>
          </w:p>
        </w:tc>
        <w:tc>
          <w:tcPr>
            <w:tcW w:w="1414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160" w:firstLineChars="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政府存款</w:t>
            </w:r>
          </w:p>
        </w:tc>
        <w:tc>
          <w:tcPr>
            <w:tcW w:w="216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131222</w:t>
            </w:r>
          </w:p>
        </w:tc>
        <w:tc>
          <w:tcPr>
            <w:tcW w:w="1414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160" w:firstLineChars="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企业存款</w:t>
            </w:r>
          </w:p>
        </w:tc>
        <w:tc>
          <w:tcPr>
            <w:tcW w:w="216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57798</w:t>
            </w:r>
          </w:p>
        </w:tc>
        <w:tc>
          <w:tcPr>
            <w:tcW w:w="1414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各项贷款余额</w:t>
            </w:r>
          </w:p>
        </w:tc>
        <w:tc>
          <w:tcPr>
            <w:tcW w:w="216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345345</w:t>
            </w:r>
          </w:p>
        </w:tc>
        <w:tc>
          <w:tcPr>
            <w:tcW w:w="1414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其中：住户贷款</w:t>
            </w:r>
          </w:p>
        </w:tc>
        <w:tc>
          <w:tcPr>
            <w:tcW w:w="216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96196</w:t>
            </w:r>
          </w:p>
        </w:tc>
        <w:tc>
          <w:tcPr>
            <w:tcW w:w="1414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0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160" w:firstLineChars="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企业贷款</w:t>
            </w:r>
          </w:p>
        </w:tc>
        <w:tc>
          <w:tcPr>
            <w:tcW w:w="2160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249159</w:t>
            </w:r>
          </w:p>
        </w:tc>
        <w:tc>
          <w:tcPr>
            <w:tcW w:w="1414" w:type="dxa"/>
            <w:tcBorders>
              <w:top w:val="nil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年末全县保费收入11722万元，其中，寿险业务保费收入7173万元，财产险业务保费收入4549万元。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八、教育和科学技术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年末全县普通高中1所，职业高中1所，单办初中4所，教师进修校1所，九年一贯制学校1所，小学42所，独立幼儿园38所。中学在校学生5977人。全县教师为1898人，其中：幼儿教师97人，小学教师1022人，初中教师445人，高中教师311人，进修校教师23人。全县普通小学在校学生9272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年各类教育发展情况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单位：人</w:t>
      </w:r>
    </w:p>
    <w:tbl>
      <w:tblPr>
        <w:tblStyle w:val="4"/>
        <w:tblW w:w="8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620"/>
        <w:gridCol w:w="540"/>
        <w:gridCol w:w="1440"/>
        <w:gridCol w:w="360"/>
        <w:gridCol w:w="1440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3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指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标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生</w:t>
            </w:r>
          </w:p>
        </w:tc>
        <w:tc>
          <w:tcPr>
            <w:tcW w:w="18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在校生</w:t>
            </w: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中等职业教育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540" w:type="dxa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164</w:t>
            </w:r>
          </w:p>
        </w:tc>
        <w:tc>
          <w:tcPr>
            <w:tcW w:w="360" w:type="dxa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402" w:type="dxa"/>
            <w:tcBorders>
              <w:top w:val="single" w:color="auto" w:sz="1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普通高中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744</w:t>
            </w:r>
          </w:p>
        </w:tc>
        <w:tc>
          <w:tcPr>
            <w:tcW w:w="40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初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中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1414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4158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1275</w:t>
            </w:r>
          </w:p>
        </w:tc>
        <w:tc>
          <w:tcPr>
            <w:tcW w:w="40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小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学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9272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1831</w:t>
            </w:r>
          </w:p>
        </w:tc>
        <w:tc>
          <w:tcPr>
            <w:tcW w:w="40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学前教育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1257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4577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1548</w:t>
            </w:r>
          </w:p>
        </w:tc>
        <w:tc>
          <w:tcPr>
            <w:tcW w:w="40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特殊教育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12" w:space="0"/>
              <w:bottom w:val="single" w:color="000000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12" w:space="0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全年专利申请量为0项，全年全县共签订各类技术合同3项，技术合同成交总额800万元。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</w:rPr>
        <w:t>九、文化</w:t>
      </w: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</w:rPr>
        <w:t>卫生</w:t>
      </w: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和体育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共有艺术表演团7个，文化馆1个，公共图书馆1个，公共图书馆藏书量14.7万册，档案馆1个。全县电视台1座，电视综合人口覆盖率达到85%。全县有线电视用户达到2.6万户，其中数字信号用户7000万户。全县共建成村级文化活动场所254个，群众舞台120个，乡镇文化站14个，农家书屋254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年末全县共有医院、卫生院18个，妇幼保健机构 1个，疾病预防控制中心（防疫站）1个。卫生技术人员1031人。全县新型农村合作医疗覆盖率 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年末全县共有体育馆1个，占地面积16427平方米；田径场1个；新建鹏飞篮球主题公园（包括网球场、篮球场、门球场在内）1个，占地面积53350平方米。全年举办各类赛事活动60余场，累计观众达到200万余人次。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60" w:lineRule="exact"/>
        <w:ind w:right="0" w:rightChars="0"/>
        <w:jc w:val="center"/>
        <w:textAlignment w:val="auto"/>
        <w:outlineLvl w:val="9"/>
        <w:rPr>
          <w:rFonts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</w:rPr>
        <w:t>十、人口、人民生活和社会保障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根据山西省1%人口抽样调查，年末全县总人口164542人，其中：男性85703人，女性78839人，男女性别比（女=100）108.71，城镇人口79754人，乡村人口84788人，城镇化率48.47%，人口自然增长率0.29‰。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根据城乡住户一体化调查抽样显示，城镇居民人均可支配收入37113元，比上年增长6.9%；农村居民人均可支配收入16443元，比上年增长9%。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</w:pPr>
      <w:r>
        <w:drawing>
          <wp:inline distT="0" distB="0" distL="114300" distR="114300">
            <wp:extent cx="5271135" cy="2545715"/>
            <wp:effectExtent l="0" t="0" r="5715" b="6985"/>
            <wp:docPr id="15423" name="Chart 10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2444750"/>
            <wp:effectExtent l="0" t="0" r="0" b="0"/>
            <wp:docPr id="1439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7  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  <w:t xml:space="preserve"> 20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  <w:lang w:val="en-US" w:eastAsia="zh-CN"/>
        </w:rPr>
        <w:t>15年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  <w:t>-201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  <w:t>年城乡居民生活改善情况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</w:pPr>
    </w:p>
    <w:tbl>
      <w:tblPr>
        <w:tblStyle w:val="4"/>
        <w:tblW w:w="8803" w:type="dxa"/>
        <w:tblInd w:w="-23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716"/>
        <w:gridCol w:w="990"/>
        <w:gridCol w:w="995"/>
        <w:gridCol w:w="1079"/>
        <w:gridCol w:w="1079"/>
        <w:gridCol w:w="107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72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 xml:space="preserve">指 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 xml:space="preserve"> 标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城镇居民人均可支配收入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元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28500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30438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32507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34718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37113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农村居民人均纯收入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元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11900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12745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13714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15085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16443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年末城乡居民养老保险人数为83598人，参加城镇职工基本医疗保险人数为23227人，参加城乡居民基本医疗保险126433人，参加企业养老保险人数14129人，参加城镇失业保险人数为21380人。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全年城镇居民最低生活保障人数771人，农村居民最低生活保障人数5307人，农村特殊困难人数1478人，城市特殊困难人数6人。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十一、城市建设、资源、环境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和安全生产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年末全县城市建成区面积 5.54平方公里。年末建成区绿化面积227.52万平方米，建成区绿化覆盖率41.77%。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年末城市交通运营车辆6辆，出租汽车75辆。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全县共有公园10个，公园绿地总面积41.88万平方米。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全年城市供水总量187万吨，全县集中供热面积365.9万平方米，其中住宅供热面积205.2万平方米。全年污水处理率95.65%。生活垃圾无害化处理率达到100%。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农田灌溉有效面积全年完成3.58万亩，基本农田保护面积实际完成27.88万亩。完成水土流失综合治理9.5万亩。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年末全县森林面积218.6万亩，森林覆盖率56.7%。全县全年营造林合格面积5.39万亩。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B0F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全年全县工业固体废弃物综合利用率100%，全年全县空气质量Ⅱ级以上天数达276天，空气质量优良天数比例是75.6%，全县集中式饮用水水源水质达标率为100%，地表水考核断面达标率为100%。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公报注释 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1.本公报部分数据为初步统计数据。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2.地区生产总值、各产业增加值绝对数按现价计算，增长速度按不变价格计算。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3.所有增长或下降速度均为同上年相比较。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4.部分数据因四舍五入的原因，存在与分项合计不等的情况。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5.固定资产投资数据按新统计口径计算。</w:t>
      </w:r>
    </w:p>
    <w:p>
      <w:pPr>
        <w:rPr>
          <w:color w:val="0000FF"/>
          <w:shd w:val="clear" w:color="auto" w:fill="auto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03077"/>
    <w:rsid w:val="1B771664"/>
    <w:rsid w:val="48D91469"/>
    <w:rsid w:val="4960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customStyle="1" w:styleId="7">
    <w:name w:val="p241"/>
    <w:qFormat/>
    <w:uiPriority w:val="0"/>
    <w:rPr>
      <w:b/>
      <w:bCs/>
      <w:color w:val="98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chart" Target="charts/chart7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2018&#26609;&#29366;&#22270;%20&#20462;&#25913;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dell\Desktop\2018&#26609;&#29366;&#22270;%20&#20462;&#25913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2018&#26609;&#29366;&#22270;%20&#20462;&#25913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2018&#26609;&#29366;&#22270;%20&#20462;&#25913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2018&#26609;&#29366;&#22270;%20&#20462;&#25913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2018&#26609;&#29366;&#22270;%20&#20462;&#25913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2018&#26609;&#29366;&#22270;%20&#20462;&#25913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沁源县近年来</a:t>
            </a:r>
            <a:r>
              <a:rPr altLang="en-US"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地区生产总值</a:t>
            </a:r>
            <a:r>
              <a:rPr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完成情况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58674698795181"/>
          <c:y val="0.0384415584415584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8625"/>
          <c:y val="0.2"/>
          <c:w val="0.7385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"总量"</c:f>
              <c:strCache>
                <c:ptCount val="1"/>
                <c:pt idx="0">
                  <c:v>总量</c:v>
                </c:pt>
              </c:strCache>
            </c:strRef>
          </c:tx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'[2018柱状图 修改.xls]工业产值 (2)'!$A$2:$A$6</c:f>
              <c:strCache>
                <c:ptCount val="5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</c:strCache>
            </c:strRef>
          </c:cat>
          <c:val>
            <c:numRef>
              <c:f>'[2018柱状图 修改.xls]工业产值 (2)'!$B$2:$B$6</c:f>
              <c:numCache>
                <c:formatCode>General</c:formatCode>
                <c:ptCount val="5"/>
                <c:pt idx="0">
                  <c:v>87.5</c:v>
                </c:pt>
                <c:pt idx="1">
                  <c:v>102.9</c:v>
                </c:pt>
                <c:pt idx="2">
                  <c:v>136.3</c:v>
                </c:pt>
                <c:pt idx="3">
                  <c:v>122.97</c:v>
                </c:pt>
                <c:pt idx="4">
                  <c:v>129.3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820939646"/>
        <c:axId val="278134576"/>
      </c:barChart>
      <c:lineChart>
        <c:grouping val="standard"/>
        <c:varyColors val="0"/>
        <c:ser>
          <c:idx val="0"/>
          <c:order val="1"/>
          <c:tx>
            <c:strRef>
              <c:f>"增速"</c:f>
              <c:strCache>
                <c:ptCount val="1"/>
                <c:pt idx="0">
                  <c:v>增速</c:v>
                </c:pt>
              </c:strCache>
            </c:strRef>
          </c:tx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101204819277108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24096385542168"/>
                  <c:y val="-0.002337662337662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78313253012048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4578313253012"/>
                  <c:y val="-0.01714285714285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13253012048193"/>
                  <c:y val="-0.002337662337662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'[2018柱状图 修改.xls]工业产值 (2)'!$A$2:$A$6</c:f>
              <c:strCache>
                <c:ptCount val="5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</c:strCache>
            </c:strRef>
          </c:cat>
          <c:val>
            <c:numRef>
              <c:f>'[2018柱状图 修改.xls]工业产值 (2)'!$C$2:$C$6</c:f>
              <c:numCache>
                <c:formatCode>General</c:formatCode>
                <c:ptCount val="5"/>
                <c:pt idx="0">
                  <c:v>-0.9</c:v>
                </c:pt>
                <c:pt idx="1">
                  <c:v>4.5</c:v>
                </c:pt>
                <c:pt idx="2">
                  <c:v>10.3</c:v>
                </c:pt>
                <c:pt idx="3">
                  <c:v>7.7</c:v>
                </c:pt>
                <c:pt idx="4">
                  <c:v>7.4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3863151"/>
        <c:axId val="908500923"/>
      </c:lineChart>
      <c:catAx>
        <c:axId val="820939646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78134576"/>
        <c:crosses val="autoZero"/>
        <c:auto val="0"/>
        <c:lblAlgn val="ctr"/>
        <c:lblOffset val="100"/>
        <c:noMultiLvlLbl val="0"/>
      </c:catAx>
      <c:valAx>
        <c:axId val="278134576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67202325581395"/>
              <c:y val="0.086770248839368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820939646"/>
        <c:crosses val="autoZero"/>
        <c:crossBetween val="between"/>
      </c:valAx>
      <c:catAx>
        <c:axId val="673863151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908500923"/>
        <c:crosses val="autoZero"/>
        <c:auto val="0"/>
        <c:lblAlgn val="ctr"/>
        <c:lblOffset val="100"/>
        <c:noMultiLvlLbl val="0"/>
      </c:catAx>
      <c:valAx>
        <c:axId val="908500923"/>
        <c:scaling>
          <c:orientation val="minMax"/>
          <c:max val="20"/>
          <c:min val="-5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/>
                    </a:solidFill>
                    <a:latin typeface="Arial" panose="020B0604020202020204" pitchFamily="7" charset="0"/>
                    <a:ea typeface="Arial" panose="020B0604020202020204" pitchFamily="7" charset="0"/>
                    <a:cs typeface="Arial" panose="020B0604020202020204" pitchFamily="7" charset="0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/>
                  </a:solidFill>
                  <a:latin typeface="Arial" panose="020B0604020202020204" pitchFamily="7" charset="0"/>
                  <a:ea typeface="Arial" panose="020B0604020202020204" pitchFamily="7" charset="0"/>
                  <a:cs typeface="Arial" panose="020B0604020202020204" pitchFamily="7" charset="0"/>
                </a:endParaRPr>
              </a:p>
            </c:rich>
          </c:tx>
          <c:layout>
            <c:manualLayout>
              <c:xMode val="edge"/>
              <c:yMode val="edge"/>
              <c:x val="0.835950740740741"/>
              <c:y val="0.0985257488393687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73863151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/>
              <a:t>沁源县近年来财政总收入完成情况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47921407930989"/>
          <c:y val="0.0366885046602729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794142980189492"/>
          <c:y val="0.163447251114413"/>
          <c:w val="0.739104220499569"/>
          <c:h val="0.75222882615156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0.00496017571432975"/>
                  <c:y val="0.040872040292545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129198966408271"/>
                  <c:y val="0.033859053279558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'[2018柱状图 修改.xls]十二五成果展1'!$A$2:$A$6</c:f>
              <c:strCache>
                <c:ptCount val="5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</c:strCache>
            </c:strRef>
          </c:cat>
          <c:val>
            <c:numRef>
              <c:f>'[2018柱状图 修改.xls]十二五成果展1'!$B$2:$B$6</c:f>
              <c:numCache>
                <c:formatCode>General</c:formatCode>
                <c:ptCount val="5"/>
                <c:pt idx="0">
                  <c:v>16.5</c:v>
                </c:pt>
                <c:pt idx="1">
                  <c:v>16.42</c:v>
                </c:pt>
                <c:pt idx="2">
                  <c:v>30.43</c:v>
                </c:pt>
                <c:pt idx="3">
                  <c:v>35.19</c:v>
                </c:pt>
                <c:pt idx="4">
                  <c:v>37.52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761457212"/>
        <c:axId val="697307162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0885388796904075"/>
                  <c:y val="-0.00063700044383548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31365512140594"/>
                  <c:y val="-0.00233766233766234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645994832041344"/>
                  <c:y val="-0.013930163447251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576702722843702"/>
                  <c:y val="-0.02167297041739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16367786079757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'[2018柱状图 修改.xls]十二五成果展1'!$A$2:$A$6</c:f>
              <c:strCache>
                <c:ptCount val="5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</c:strCache>
            </c:strRef>
          </c:cat>
          <c:val>
            <c:numRef>
              <c:f>'[2018柱状图 修改.xls]十二五成果展1'!$C$2:$C$6</c:f>
              <c:numCache>
                <c:formatCode>General</c:formatCode>
                <c:ptCount val="5"/>
                <c:pt idx="0">
                  <c:v>-19.05</c:v>
                </c:pt>
                <c:pt idx="1">
                  <c:v>-0.61</c:v>
                </c:pt>
                <c:pt idx="2">
                  <c:v>85.36</c:v>
                </c:pt>
                <c:pt idx="3">
                  <c:v>15.6</c:v>
                </c:pt>
                <c:pt idx="4">
                  <c:v>6.6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9960855"/>
        <c:axId val="448386579"/>
      </c:lineChart>
      <c:catAx>
        <c:axId val="761457212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697307162"/>
        <c:crosses val="autoZero"/>
        <c:auto val="0"/>
        <c:lblAlgn val="ctr"/>
        <c:lblOffset val="100"/>
        <c:noMultiLvlLbl val="0"/>
      </c:catAx>
      <c:valAx>
        <c:axId val="697307162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761457212"/>
        <c:crosses val="autoZero"/>
        <c:crossBetween val="between"/>
      </c:valAx>
      <c:catAx>
        <c:axId val="899960855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48386579"/>
        <c:crosses val="autoZero"/>
        <c:auto val="0"/>
        <c:lblAlgn val="ctr"/>
        <c:lblOffset val="100"/>
        <c:noMultiLvlLbl val="0"/>
      </c:catAx>
      <c:valAx>
        <c:axId val="448386579"/>
        <c:scaling>
          <c:orientation val="minMax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35917312661499"/>
              <c:y val="0.045505200594353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899960855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/>
              <a:t>沁源县近年来工业增加值完成情况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38026270612146"/>
          <c:y val="0.058907499186050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8625"/>
          <c:y val="0.2"/>
          <c:w val="0.7385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'[2018柱状图 修改.xls]工业产值'!$A$2:$A$6</c:f>
              <c:strCache>
                <c:ptCount val="5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</c:strCache>
            </c:strRef>
          </c:cat>
          <c:val>
            <c:numRef>
              <c:f>'[2018柱状图 修改.xls]工业产值'!$B$2:$B$6</c:f>
              <c:numCache>
                <c:formatCode>General</c:formatCode>
                <c:ptCount val="5"/>
                <c:pt idx="0">
                  <c:v>57.1</c:v>
                </c:pt>
                <c:pt idx="1">
                  <c:v>68.9</c:v>
                </c:pt>
                <c:pt idx="2">
                  <c:v>104</c:v>
                </c:pt>
                <c:pt idx="3">
                  <c:v>82.43</c:v>
                </c:pt>
                <c:pt idx="4">
                  <c:v>83.52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69031502"/>
        <c:axId val="45640111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113239368750753"/>
                  <c:y val="-0.0098701298701298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13239368750753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566196843753765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4697024454885"/>
                  <c:y val="0.014545454545454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686664257318395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'[2018柱状图 修改.xls]工业产值'!$A$2:$A$6</c:f>
              <c:strCache>
                <c:ptCount val="5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</c:strCache>
            </c:strRef>
          </c:cat>
          <c:val>
            <c:numRef>
              <c:f>'[2018柱状图 修改.xls]工业产值'!$C$2:$C$6</c:f>
              <c:numCache>
                <c:formatCode>General</c:formatCode>
                <c:ptCount val="5"/>
                <c:pt idx="0">
                  <c:v>-3.8</c:v>
                </c:pt>
                <c:pt idx="1">
                  <c:v>2.52</c:v>
                </c:pt>
                <c:pt idx="2">
                  <c:v>15.55</c:v>
                </c:pt>
                <c:pt idx="3">
                  <c:v>8.52</c:v>
                </c:pt>
                <c:pt idx="4">
                  <c:v>9.46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5717159"/>
        <c:axId val="23544175"/>
      </c:lineChart>
      <c:catAx>
        <c:axId val="69031502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5640111"/>
        <c:crosses val="autoZero"/>
        <c:auto val="0"/>
        <c:lblAlgn val="ctr"/>
        <c:lblOffset val="100"/>
        <c:noMultiLvlLbl val="0"/>
      </c:catAx>
      <c:valAx>
        <c:axId val="45640111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67202325581395"/>
              <c:y val="0.086770248839368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9031502"/>
        <c:crosses val="autoZero"/>
        <c:crossBetween val="between"/>
      </c:valAx>
      <c:catAx>
        <c:axId val="825717159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3544175"/>
        <c:crosses val="autoZero"/>
        <c:auto val="0"/>
        <c:lblAlgn val="ctr"/>
        <c:lblOffset val="100"/>
        <c:noMultiLvlLbl val="0"/>
      </c:catAx>
      <c:valAx>
        <c:axId val="23544175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35950740740741"/>
              <c:y val="0.0985257488393687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825717159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沁源县近年来固定资产投资完成情况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45433406606867"/>
          <c:y val="0.0304344680389249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8625"/>
          <c:y val="0.2085"/>
          <c:w val="0.74375"/>
          <c:h val="0.6827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'[2018柱状图 修改.xls]固定资产投资'!$A$2:$A$6</c:f>
              <c:strCache>
                <c:ptCount val="5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</c:strCache>
            </c:strRef>
          </c:cat>
          <c:val>
            <c:numRef>
              <c:f>'[2018柱状图 修改.xls]固定资产投资'!$B$2:$B$6</c:f>
              <c:numCache>
                <c:formatCode>General</c:formatCode>
                <c:ptCount val="5"/>
                <c:pt idx="0">
                  <c:v>107</c:v>
                </c:pt>
                <c:pt idx="1">
                  <c:v>108.36</c:v>
                </c:pt>
                <c:pt idx="2">
                  <c:v>50.1</c:v>
                </c:pt>
                <c:pt idx="3">
                  <c:v>55.7</c:v>
                </c:pt>
                <c:pt idx="4">
                  <c:v>60.5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533414871"/>
        <c:axId val="232564561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113239368750753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80701120346946"/>
                  <c:y val="-0.058441558441558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59016985905313"/>
                  <c:y val="0.01220779220779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4697024454885"/>
                  <c:y val="-0.024415584415584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2408143597157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'[2018柱状图 修改.xls]固定资产投资'!$A$2:$A$6</c:f>
              <c:strCache>
                <c:ptCount val="5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</c:strCache>
            </c:strRef>
          </c:cat>
          <c:val>
            <c:numRef>
              <c:f>'[2018柱状图 修改.xls]固定资产投资'!$C$2:$C$6</c:f>
              <c:numCache>
                <c:formatCode>General</c:formatCode>
                <c:ptCount val="5"/>
                <c:pt idx="0">
                  <c:v>17.7</c:v>
                </c:pt>
                <c:pt idx="1">
                  <c:v>1.3</c:v>
                </c:pt>
                <c:pt idx="2">
                  <c:v>7.8</c:v>
                </c:pt>
                <c:pt idx="3">
                  <c:v>11.2</c:v>
                </c:pt>
                <c:pt idx="4">
                  <c:v>8.5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9313349"/>
        <c:axId val="578600030"/>
      </c:lineChart>
      <c:catAx>
        <c:axId val="533414871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32564561"/>
        <c:crosses val="autoZero"/>
        <c:auto val="0"/>
        <c:lblAlgn val="ctr"/>
        <c:lblOffset val="100"/>
        <c:noMultiLvlLbl val="0"/>
      </c:catAx>
      <c:valAx>
        <c:axId val="232564561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258743744077871"/>
              <c:y val="0.108644748839369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533414871"/>
        <c:crosses val="autoZero"/>
        <c:crossBetween val="between"/>
      </c:valAx>
      <c:catAx>
        <c:axId val="239313349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578600030"/>
        <c:crosses val="autoZero"/>
        <c:auto val="0"/>
        <c:lblAlgn val="ctr"/>
        <c:lblOffset val="100"/>
        <c:noMultiLvlLbl val="0"/>
      </c:catAx>
      <c:valAx>
        <c:axId val="578600030"/>
        <c:scaling>
          <c:orientation val="minMax"/>
          <c:max val="8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40429115879921"/>
              <c:y val="0.116837748839369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39313349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沁源县近年来社会消费品零售总额完成情况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75920805282636"/>
          <c:y val="0.029108996852729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72"/>
          <c:y val="0.20275"/>
          <c:w val="0.7635"/>
          <c:h val="0.688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'[2018柱状图 修改.xls]社会消费品零售总额'!$A$2:$A$6</c:f>
              <c:strCache>
                <c:ptCount val="5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</c:strCache>
            </c:strRef>
          </c:cat>
          <c:val>
            <c:numRef>
              <c:f>'[2018柱状图 修改.xls]社会消费品零售总额'!$B$2:$B$6</c:f>
              <c:numCache>
                <c:formatCode>General</c:formatCode>
                <c:ptCount val="5"/>
                <c:pt idx="0">
                  <c:v>21.4</c:v>
                </c:pt>
                <c:pt idx="1">
                  <c:v>23.36</c:v>
                </c:pt>
                <c:pt idx="2">
                  <c:v>25.25</c:v>
                </c:pt>
                <c:pt idx="3">
                  <c:v>27.91</c:v>
                </c:pt>
                <c:pt idx="4">
                  <c:v>29.95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66917543"/>
        <c:axId val="949709623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12408143597157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34923503192386"/>
                  <c:y val="-0.0098701298701298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903505601734731"/>
                  <c:y val="0.014545454545454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0119262739429"/>
                  <c:y val="0.007272727272727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02397301529936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'[2018柱状图 修改.xls]社会消费品零售总额'!$A$2:$A$6</c:f>
              <c:strCache>
                <c:ptCount val="5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</c:strCache>
            </c:strRef>
          </c:cat>
          <c:val>
            <c:numRef>
              <c:f>'[2018柱状图 修改.xls]社会消费品零售总额'!$C$2:$C$6</c:f>
              <c:numCache>
                <c:formatCode>General</c:formatCode>
                <c:ptCount val="5"/>
                <c:pt idx="0">
                  <c:v>5</c:v>
                </c:pt>
                <c:pt idx="1">
                  <c:v>9.2</c:v>
                </c:pt>
                <c:pt idx="2">
                  <c:v>8.1</c:v>
                </c:pt>
                <c:pt idx="3">
                  <c:v>10.5</c:v>
                </c:pt>
                <c:pt idx="4">
                  <c:v>7.3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9097055"/>
        <c:axId val="817002473"/>
      </c:lineChart>
      <c:catAx>
        <c:axId val="466917543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949709623"/>
        <c:crosses val="autoZero"/>
        <c:auto val="0"/>
        <c:lblAlgn val="ctr"/>
        <c:lblOffset val="100"/>
        <c:noMultiLvlLbl val="0"/>
      </c:catAx>
      <c:valAx>
        <c:axId val="949709623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158352325581395"/>
              <c:y val="0.076810748839368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66917543"/>
        <c:crosses val="autoZero"/>
        <c:crossBetween val="between"/>
      </c:valAx>
      <c:catAx>
        <c:axId val="429097055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817002473"/>
        <c:crosses val="autoZero"/>
        <c:auto val="0"/>
        <c:lblAlgn val="ctr"/>
        <c:lblOffset val="100"/>
        <c:noMultiLvlLbl val="0"/>
      </c:catAx>
      <c:valAx>
        <c:axId val="817002473"/>
        <c:scaling>
          <c:orientation val="minMax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45274353574505"/>
              <c:y val="0.103182238625812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29097055"/>
        <c:crosses val="max"/>
        <c:crossBetween val="between"/>
        <c:majorUnit val="5"/>
      </c:valAx>
      <c:spPr>
        <a:noFill/>
        <a:ln w="12700">
          <a:solidFill>
            <a:srgbClr val="808080">
              <a:alpha val="100000"/>
            </a:srgbClr>
          </a:solidFill>
          <a:prstDash val="solid"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/>
              <a:t>沁源近年来城镇居民人均可支配收入完成情况</a:t>
            </a:r>
            <a:endParaRPr sz="1200" b="1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81543508380937"/>
          <c:y val="0.0651325832941432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9925"/>
          <c:y val="0.2"/>
          <c:w val="0.736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'[2018柱状图 修改.xls]城镇居民人均可支配收入'!$A$2:$A$6</c:f>
              <c:strCache>
                <c:ptCount val="5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</c:strCache>
            </c:strRef>
          </c:cat>
          <c:val>
            <c:numRef>
              <c:f>'[2018柱状图 修改.xls]城镇居民人均可支配收入'!$B$2:$B$6</c:f>
              <c:numCache>
                <c:formatCode>General</c:formatCode>
                <c:ptCount val="5"/>
                <c:pt idx="0">
                  <c:v>28500</c:v>
                </c:pt>
                <c:pt idx="1">
                  <c:v>30438</c:v>
                </c:pt>
                <c:pt idx="2">
                  <c:v>32507</c:v>
                </c:pt>
                <c:pt idx="3">
                  <c:v>34718</c:v>
                </c:pt>
                <c:pt idx="4">
                  <c:v>37113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729638651"/>
        <c:axId val="514222308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203589928924226"/>
                  <c:y val="-0.029090909090909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91543187567763"/>
                  <c:y val="-0.02935064935064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2527406336586"/>
                  <c:y val="-0.026753246753246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34923503192386"/>
                  <c:y val="-0.02935064935064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674617515961932"/>
                  <c:y val="-0.024415584415584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'[2018柱状图 修改.xls]城镇居民人均可支配收入'!$A$2:$A$6</c:f>
              <c:strCache>
                <c:ptCount val="5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</c:strCache>
            </c:strRef>
          </c:cat>
          <c:val>
            <c:numRef>
              <c:f>'[2018柱状图 修改.xls]城镇居民人均可支配收入'!$C$2:$C$6</c:f>
              <c:numCache>
                <c:formatCode>General</c:formatCode>
                <c:ptCount val="5"/>
                <c:pt idx="0">
                  <c:v>6.8</c:v>
                </c:pt>
                <c:pt idx="1">
                  <c:v>6.8</c:v>
                </c:pt>
                <c:pt idx="2">
                  <c:v>6.8</c:v>
                </c:pt>
                <c:pt idx="3">
                  <c:v>6.8</c:v>
                </c:pt>
                <c:pt idx="4">
                  <c:v>6.9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7521463"/>
        <c:axId val="309950666"/>
      </c:lineChart>
      <c:catAx>
        <c:axId val="729638651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14222308"/>
        <c:crosses val="autoZero"/>
        <c:auto val="0"/>
        <c:lblAlgn val="ctr"/>
        <c:lblOffset val="100"/>
        <c:noMultiLvlLbl val="0"/>
      </c:catAx>
      <c:valAx>
        <c:axId val="514222308"/>
        <c:scaling>
          <c:orientation val="minMax"/>
        </c:scaling>
        <c:delete val="0"/>
        <c:axPos val="l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411710198105082"/>
              <c:y val="0.112170047818013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729638651"/>
        <c:crosses val="autoZero"/>
        <c:crossBetween val="between"/>
      </c:valAx>
      <c:catAx>
        <c:axId val="917521463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309950666"/>
        <c:crosses val="autoZero"/>
        <c:auto val="0"/>
        <c:lblAlgn val="ctr"/>
        <c:lblOffset val="100"/>
        <c:noMultiLvlLbl val="0"/>
      </c:catAx>
      <c:valAx>
        <c:axId val="309950666"/>
        <c:scaling>
          <c:orientation val="minMax"/>
          <c:max val="14"/>
          <c:min val="0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50347853574505"/>
              <c:y val="0.104966738625812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917521463"/>
        <c:crosses val="max"/>
        <c:crossBetween val="between"/>
        <c:majorUnit val="2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/>
              <a:t>沁源近年来农村居民人均可支配收入完成情况</a:t>
            </a:r>
            <a:endParaRPr sz="1200" b="1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84668389319552"/>
          <c:y val="0.0222841225626741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9925"/>
          <c:y val="0.2"/>
          <c:w val="0.736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0.0245478036175711"/>
                  <c:y val="0.00557103064066852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'[2018柱状图 修改.xls]农村居民人均可支配收入'!$A$2:$A$6</c:f>
              <c:strCache>
                <c:ptCount val="5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</c:strCache>
            </c:strRef>
          </c:cat>
          <c:val>
            <c:numRef>
              <c:f>'[2018柱状图 修改.xls]农村居民人均可支配收入'!$B$2:$B$6</c:f>
              <c:numCache>
                <c:formatCode>General</c:formatCode>
                <c:ptCount val="5"/>
                <c:pt idx="0">
                  <c:v>11900</c:v>
                </c:pt>
                <c:pt idx="1">
                  <c:v>12745</c:v>
                </c:pt>
                <c:pt idx="2">
                  <c:v>13714</c:v>
                </c:pt>
                <c:pt idx="3">
                  <c:v>15085</c:v>
                </c:pt>
                <c:pt idx="4">
                  <c:v>16443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997846748"/>
        <c:axId val="676788097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125286110107216"/>
                  <c:y val="-0.024415584415584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13239368750753"/>
                  <c:y val="-0.029090909090909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2408143597157"/>
                  <c:y val="0.01194805194805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34923503192386"/>
                  <c:y val="-0.019480519480519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13239368750753"/>
                  <c:y val="0.007272727272727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'[2018柱状图 修改.xls]农村居民人均可支配收入'!$A$2:$A$6</c:f>
              <c:strCache>
                <c:ptCount val="5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</c:strCache>
            </c:strRef>
          </c:cat>
          <c:val>
            <c:numRef>
              <c:f>'[2018柱状图 修改.xls]农村居民人均可支配收入'!$C$2:$C$6</c:f>
              <c:numCache>
                <c:formatCode>General</c:formatCode>
                <c:ptCount val="5"/>
                <c:pt idx="0">
                  <c:v>8.7</c:v>
                </c:pt>
                <c:pt idx="1">
                  <c:v>7.1</c:v>
                </c:pt>
                <c:pt idx="2">
                  <c:v>7.6</c:v>
                </c:pt>
                <c:pt idx="3">
                  <c:v>10</c:v>
                </c:pt>
                <c:pt idx="4">
                  <c:v>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1062013"/>
        <c:axId val="607387486"/>
      </c:lineChart>
      <c:catAx>
        <c:axId val="997846748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676788097"/>
        <c:crosses val="autoZero"/>
        <c:auto val="0"/>
        <c:lblAlgn val="ctr"/>
        <c:lblOffset val="100"/>
        <c:noMultiLvlLbl val="0"/>
      </c:catAx>
      <c:valAx>
        <c:axId val="676788097"/>
        <c:scaling>
          <c:orientation val="minMax"/>
        </c:scaling>
        <c:delete val="0"/>
        <c:axPos val="l"/>
        <c:title>
          <c:tx>
            <c:rich>
              <a:bodyPr rot="0" spcFirstLastPara="0" vertOverflow="ellipsis" vert="wordArtVertRtl" wrap="square" anchor="t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96990198105082"/>
              <c:y val="0.103872047818013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997846748"/>
        <c:crosses val="autoZero"/>
        <c:crossBetween val="between"/>
      </c:valAx>
      <c:catAx>
        <c:axId val="671062013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07387486"/>
        <c:crosses val="autoZero"/>
        <c:auto val="0"/>
        <c:lblAlgn val="ctr"/>
        <c:lblOffset val="100"/>
        <c:noMultiLvlLbl val="0"/>
      </c:catAx>
      <c:valAx>
        <c:axId val="607387486"/>
        <c:scaling>
          <c:orientation val="minMax"/>
          <c:max val="25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50347853574505"/>
              <c:y val="0.0932112386258125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71062013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0.0348837209302326</cdr:x>
      <cdr:y>0.0304606240713224</cdr:y>
    </cdr:from>
    <cdr:to>
      <cdr:x>0.104651162790698</cdr:x>
      <cdr:y>0.0917533432392273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257175" y="104140"/>
          <a:ext cx="514350" cy="20955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horzOverflow="clip" vert="horz" wrap="square" lIns="45720" tIns="45720" rIns="45720" bIns="45720" rtlCol="0" anchor="t" anchorCtr="0">
          <a:normAutofit/>
        </a:bodyPr>
        <a:p>
          <a:r>
            <a:rPr lang="zh-CN" altLang="en-US" sz="800"/>
            <a:t>亿元</a:t>
          </a:r>
          <a:endParaRPr lang="zh-CN" altLang="en-US" sz="800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2020-04-15T08:14:00Z</dcterms:created>
  <dc:creator>dell</dc:creator>
  <cp:lastModifiedBy>dell</cp:lastModifiedBy>
  <dcterms:modified xsi:type="dcterms:W3CDTF">2020-04-15T08:19:20Z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